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60"/>
          <w:szCs w:val="60"/>
        </w:rPr>
      </w:pPr>
      <w:bookmarkStart w:colFirst="0" w:colLast="0" w:name="_heading=h.btpq6eljusft" w:id="0"/>
      <w:bookmarkEnd w:id="0"/>
      <w:r w:rsidDel="00000000" w:rsidR="00000000" w:rsidRPr="00000000">
        <w:rPr>
          <w:sz w:val="60"/>
          <w:szCs w:val="60"/>
          <w:rtl w:val="0"/>
        </w:rPr>
        <w:t xml:space="preserve">Maryland Commission on Disabilities</w:t>
      </w:r>
    </w:p>
    <w:p w:rsidR="00000000" w:rsidDel="00000000" w:rsidP="00000000" w:rsidRDefault="00000000" w:rsidRPr="00000000" w14:paraId="00000002">
      <w:pPr>
        <w:pStyle w:val="Subtitle"/>
        <w:jc w:val="center"/>
        <w:rPr/>
        <w:sectPr>
          <w:pgSz w:h="15840" w:w="12240" w:orient="portrait"/>
          <w:pgMar w:bottom="1440" w:top="900" w:left="1440" w:right="1440" w:header="720" w:footer="720"/>
          <w:pgNumType w:start="1"/>
        </w:sectPr>
      </w:pPr>
      <w:bookmarkStart w:colFirst="0" w:colLast="0" w:name="_heading=h.seupgo5p5yct" w:id="1"/>
      <w:bookmarkEnd w:id="1"/>
      <w:r w:rsidDel="00000000" w:rsidR="00000000" w:rsidRPr="00000000">
        <w:rPr>
          <w:rtl w:val="0"/>
        </w:rPr>
        <w:t xml:space="preserve">Meeting Minutes – April 17,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90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Ande Kolp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Charles Rachel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Chris Mason-Hale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Claudine Paxton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Dan Martin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Dave Drezner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Del. Michelle Guyton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Doug Smith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Irene Souada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John Michaels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Lynnette Blake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Michelle Livshin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Sharon Maneki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Van Brooks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MDOD Staff: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Carol Beatty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Anne Blackfield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Victoria Rodriguez-Roldan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260" w:top="1260" w:left="1440" w:right="1350" w:header="720" w:footer="720"/>
          <w:cols w:equalWidth="0" w:num="2">
            <w:col w:space="720" w:w="4365"/>
            <w:col w:space="0" w:w="4365"/>
          </w:cols>
        </w:sectPr>
      </w:pPr>
      <w:r w:rsidDel="00000000" w:rsidR="00000000" w:rsidRPr="00000000">
        <w:rPr>
          <w:rtl w:val="0"/>
        </w:rPr>
        <w:t xml:space="preserve">Ellis Sardorian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19">
            <w:pPr>
              <w:pStyle w:val="Heading1"/>
              <w:rPr>
                <w:b w:val="0"/>
                <w:i w:val="1"/>
                <w:sz w:val="22"/>
                <w:szCs w:val="22"/>
                <w:vertAlign w:val="baseline"/>
              </w:rPr>
            </w:pPr>
            <w:bookmarkStart w:colFirst="0" w:colLast="0" w:name="_heading=h.qp3anyd5z4p6" w:id="2"/>
            <w:bookmarkEnd w:id="2"/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Welcome and Approval of Minutes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vertAlign w:val="baseline"/>
                <w:rtl w:val="0"/>
              </w:rPr>
              <w:t xml:space="preserve">Van Brooks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 were approved with no changes. Commissioners entered their names in the chat.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1C">
            <w:pPr>
              <w:pStyle w:val="Heading1"/>
              <w:rPr>
                <w:b w:val="0"/>
                <w:i w:val="1"/>
                <w:sz w:val="22"/>
                <w:szCs w:val="22"/>
              </w:rPr>
            </w:pPr>
            <w:bookmarkStart w:colFirst="0" w:colLast="0" w:name="_heading=h.z6bbk03xgb4a" w:id="3"/>
            <w:bookmarkEnd w:id="3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Presentation 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 Legislative Session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Deputy Secretary Anne Blackfield, MDOD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(full presentation attached)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408" w:hanging="360"/>
        <w:rPr/>
      </w:pPr>
      <w:r w:rsidDel="00000000" w:rsidR="00000000" w:rsidRPr="00000000">
        <w:rPr>
          <w:rtl w:val="0"/>
        </w:rPr>
        <w:t xml:space="preserve">Reviewed dynamic changes in the federal government impacting MDOD’s work and the importance of grassroots communication in response.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408" w:hanging="360"/>
        <w:rPr>
          <w:u w:val="none"/>
        </w:rPr>
      </w:pPr>
      <w:r w:rsidDel="00000000" w:rsidR="00000000" w:rsidRPr="00000000">
        <w:rPr>
          <w:rtl w:val="0"/>
        </w:rPr>
        <w:t xml:space="preserve">MDOD tracks many bills throughout the legislative session, most of which they do not act upon.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408" w:hanging="360"/>
        <w:rPr>
          <w:u w:val="none"/>
        </w:rPr>
      </w:pPr>
      <w:r w:rsidDel="00000000" w:rsidR="00000000" w:rsidRPr="00000000">
        <w:rPr>
          <w:rtl w:val="0"/>
        </w:rPr>
        <w:t xml:space="preserve">Bills discussed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lineRule="auto"/>
        <w:ind w:left="1128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HB 502</w:t>
        </w:r>
      </w:hyperlink>
      <w:r w:rsidDel="00000000" w:rsidR="00000000" w:rsidRPr="00000000">
        <w:rPr>
          <w:rtl w:val="0"/>
        </w:rPr>
        <w:t xml:space="preserve">: State </w:t>
      </w:r>
      <w:r w:rsidDel="00000000" w:rsidR="00000000" w:rsidRPr="00000000">
        <w:rPr>
          <w:rtl w:val="0"/>
        </w:rPr>
        <w:t xml:space="preserve">Employer Act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lineRule="auto"/>
        <w:ind w:left="1128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SB 208</w:t>
        </w:r>
      </w:hyperlink>
      <w:r w:rsidDel="00000000" w:rsidR="00000000" w:rsidRPr="00000000">
        <w:rPr>
          <w:rtl w:val="0"/>
        </w:rPr>
        <w:t xml:space="preserve"> /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HB 214</w:t>
        </w:r>
      </w:hyperlink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Maryland Technology Access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lineRule="auto"/>
        <w:ind w:left="1128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HB 1481</w:t>
        </w:r>
      </w:hyperlink>
      <w:r w:rsidDel="00000000" w:rsidR="00000000" w:rsidRPr="00000000">
        <w:rPr>
          <w:rtl w:val="0"/>
        </w:rPr>
        <w:t xml:space="preserve">: Adapted Vehicle Access Pilot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lineRule="auto"/>
        <w:ind w:left="1128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SB 157</w:t>
        </w:r>
      </w:hyperlink>
      <w:r w:rsidDel="00000000" w:rsidR="00000000" w:rsidRPr="00000000">
        <w:rPr>
          <w:rtl w:val="0"/>
        </w:rPr>
        <w:t xml:space="preserve"> /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HB 384</w:t>
        </w:r>
      </w:hyperlink>
      <w:r w:rsidDel="00000000" w:rsidR="00000000" w:rsidRPr="00000000">
        <w:rPr>
          <w:rtl w:val="0"/>
        </w:rPr>
        <w:t xml:space="preserve">: Service Dog Program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lineRule="auto"/>
        <w:ind w:left="1128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HB 1473</w:t>
        </w:r>
      </w:hyperlink>
      <w:r w:rsidDel="00000000" w:rsidR="00000000" w:rsidRPr="00000000">
        <w:rPr>
          <w:rtl w:val="0"/>
        </w:rPr>
        <w:t xml:space="preserve">: Language Access Plans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lineRule="auto"/>
        <w:ind w:left="1128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HB 1204</w:t>
        </w:r>
      </w:hyperlink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Public and Nonpublic Schools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lineRule="auto"/>
        <w:ind w:left="1128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HB 185</w:t>
        </w:r>
      </w:hyperlink>
      <w:r w:rsidDel="00000000" w:rsidR="00000000" w:rsidRPr="00000000">
        <w:rPr>
          <w:rtl w:val="0"/>
        </w:rPr>
        <w:t xml:space="preserve">: Therapeutic Child Care Grant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29">
            <w:pPr>
              <w:pStyle w:val="Heading1"/>
              <w:rPr>
                <w:b w:val="0"/>
                <w:sz w:val="22"/>
                <w:szCs w:val="22"/>
              </w:rPr>
            </w:pPr>
            <w:bookmarkStart w:colFirst="0" w:colLast="0" w:name="_heading=h.1j20x31d4l8a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Presentation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o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 Autism Waiver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Carmen Brown &amp; Dr. Tiffany Wagoner, MSDE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Highlights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(full presentation attached)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Keep children diagnosed with Autism Spectrum Disorder (ASD) safe at home and in the community by providing a number of services.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Services include intensive individual Support Services, therapeutic integration, respite care, family consultation, adult life planning, residential habitation, and environmental accessibility adaptations.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2E">
            <w:pPr>
              <w:pStyle w:val="Heading1"/>
              <w:rPr>
                <w:b w:val="0"/>
                <w:sz w:val="22"/>
                <w:szCs w:val="22"/>
              </w:rPr>
            </w:pPr>
            <w:bookmarkStart w:colFirst="0" w:colLast="0" w:name="_heading=h.5la1wur6wnki" w:id="5"/>
            <w:bookmarkEnd w:id="5"/>
            <w:r w:rsidDel="00000000" w:rsidR="00000000" w:rsidRPr="00000000">
              <w:rPr>
                <w:sz w:val="28"/>
                <w:szCs w:val="28"/>
                <w:rtl w:val="0"/>
              </w:rPr>
              <w:t xml:space="preserve">Autism Strategic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Plan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Victoria Rodríguez-Roldán, MDOD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Highlights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(full presentation attached)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Maryland released the Autism Strategic Plan in April.  This is Maryland’s comprehensive plan on autism.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32">
            <w:pPr>
              <w:pStyle w:val="Heading1"/>
              <w:rPr>
                <w:b w:val="0"/>
                <w:i w:val="1"/>
                <w:sz w:val="22"/>
                <w:szCs w:val="22"/>
              </w:rPr>
            </w:pPr>
            <w:bookmarkStart w:colFirst="0" w:colLast="0" w:name="_heading=h.brnssig3mxkp" w:id="6"/>
            <w:bookmarkEnd w:id="6"/>
            <w:r w:rsidDel="00000000" w:rsidR="00000000" w:rsidRPr="00000000">
              <w:rPr>
                <w:sz w:val="28"/>
                <w:szCs w:val="28"/>
                <w:rtl w:val="0"/>
              </w:rPr>
              <w:t xml:space="preserve">MCOD Subcommittees –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Secretary, Carol Beatty, MDOD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MDOD can support up to 1 subcommittee.  There is interest in emergency planning for people with disabilities from five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37">
            <w:pPr>
              <w:pStyle w:val="Heading1"/>
              <w:rPr>
                <w:b w:val="0"/>
                <w:i w:val="1"/>
                <w:sz w:val="22"/>
                <w:szCs w:val="22"/>
              </w:rPr>
            </w:pPr>
            <w:bookmarkStart w:colFirst="0" w:colLast="0" w:name="_heading=h.p5vpct91ih6d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Alliance and Commission Updates –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led by Van Brooks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Irene Souada</w:t>
      </w:r>
      <w:r w:rsidDel="00000000" w:rsidR="00000000" w:rsidRPr="00000000">
        <w:rPr>
          <w:rtl w:val="0"/>
        </w:rPr>
        <w:t xml:space="preserve"> (Calvert County)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68" w:hanging="360"/>
        <w:rPr/>
      </w:pPr>
      <w:r w:rsidDel="00000000" w:rsidR="00000000" w:rsidRPr="00000000">
        <w:rPr>
          <w:rtl w:val="0"/>
        </w:rPr>
        <w:t xml:space="preserve">Choice and Control met with 30 families through ARPA grant.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00" w:line="240" w:lineRule="auto"/>
        <w:ind w:left="768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HB 983</w:t>
        </w:r>
      </w:hyperlink>
      <w:r w:rsidDel="00000000" w:rsidR="00000000" w:rsidRPr="00000000">
        <w:rPr>
          <w:rtl w:val="0"/>
        </w:rPr>
        <w:t xml:space="preserve"> /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SB 685</w:t>
        </w:r>
      </w:hyperlink>
      <w:r w:rsidDel="00000000" w:rsidR="00000000" w:rsidRPr="00000000">
        <w:rPr>
          <w:rtl w:val="0"/>
        </w:rPr>
        <w:t xml:space="preserve">: Board of Elections Language Assistance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3D">
            <w:pPr>
              <w:pStyle w:val="Heading1"/>
              <w:rPr/>
            </w:pPr>
            <w:bookmarkStart w:colFirst="0" w:colLast="0" w:name="_heading=h.5b2s3mfdu16w" w:id="8"/>
            <w:bookmarkEnd w:id="8"/>
            <w:r w:rsidDel="00000000" w:rsidR="00000000" w:rsidRPr="00000000">
              <w:rPr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3E">
      <w:pPr>
        <w:spacing w:before="160" w:line="240" w:lineRule="auto"/>
        <w:rPr/>
      </w:pPr>
      <w:r w:rsidDel="00000000" w:rsidR="00000000" w:rsidRPr="00000000">
        <w:rPr>
          <w:rtl w:val="0"/>
        </w:rPr>
        <w:t xml:space="preserve">Meeting adjourned at 5:47 p.m.</w:t>
      </w:r>
    </w:p>
    <w:sectPr>
      <w:type w:val="continuous"/>
      <w:pgSz w:h="15840" w:w="12240" w:orient="portrait"/>
      <w:pgMar w:bottom="180" w:top="1260" w:left="1440" w:right="13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024"/>
      <w:numFmt w:val="bullet"/>
      <w:lvlText w:val="-"/>
      <w:lvlJc w:val="left"/>
      <w:pPr>
        <w:ind w:left="40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024"/>
      <w:numFmt w:val="bullet"/>
      <w:lvlText w:val="-"/>
      <w:lvlJc w:val="left"/>
      <w:pPr>
        <w:ind w:left="76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86BA6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001C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655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76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162D"/>
  </w:style>
  <w:style w:type="paragraph" w:styleId="Footer">
    <w:name w:val="footer"/>
    <w:basedOn w:val="Normal"/>
    <w:link w:val="FooterChar"/>
    <w:uiPriority w:val="99"/>
    <w:unhideWhenUsed w:val="1"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162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galeg.maryland.gov/mgawebsite/Legislation/Details/hb1473?ys=2025RS" TargetMode="External"/><Relationship Id="rId8" Type="http://schemas.openxmlformats.org/officeDocument/2006/relationships/hyperlink" Target="https://mgaleg.maryland.gov/mgawebsite/Legislation/Details/sb0208" TargetMode="External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hyperlink" Target="https://mgaleg.maryland.gov/mgawebsite/Legislation/Details/HB0384?ys=2025RS" TargetMode="External"/><Relationship Id="rId17" Type="http://schemas.openxmlformats.org/officeDocument/2006/relationships/hyperlink" Target="https://mgaleg.maryland.gov/mgawebsite/Legislation/Details/SB0685?ys=2025RS" TargetMode="External"/><Relationship Id="rId7" Type="http://schemas.openxmlformats.org/officeDocument/2006/relationships/hyperlink" Target="https://mgaleg.maryland.gov/mgawebsite/Legislation/Details/HB05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galeg.maryland.gov/mgawebsite/Legislation/Details/hb0983?ys=2025RS" TargetMode="External"/><Relationship Id="rId20" Type="http://schemas.openxmlformats.org/officeDocument/2006/relationships/customXml" Target="../customXML/item4.xml"/><Relationship Id="rId11" Type="http://schemas.openxmlformats.org/officeDocument/2006/relationships/hyperlink" Target="https://mgaleg.maryland.gov/mgawebsite/Legislation/Details/SB0157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hyperlink" Target="https://mgaleg.maryland.gov/mgawebsite/Legislation/Details/hb0185?ys=2025RS" TargetMode="External"/><Relationship Id="rId5" Type="http://schemas.openxmlformats.org/officeDocument/2006/relationships/styles" Target="styles.xml"/><Relationship Id="rId10" Type="http://schemas.openxmlformats.org/officeDocument/2006/relationships/hyperlink" Target="https://mgaleg.maryland.gov/mgawebsite/Legislation/Details/hb1481" TargetMode="External"/><Relationship Id="rId19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hyperlink" Target="https://mgaleg.maryland.gov/mgawebsite/Legislation/Details/HB0214" TargetMode="External"/><Relationship Id="rId14" Type="http://schemas.openxmlformats.org/officeDocument/2006/relationships/hyperlink" Target="https://mgaleg.maryland.gov/mgawebsite/Legislation/Details/HB120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U4JItSQ2JX6KmzTs2zbx52CGg==">CgMxLjAyDmguYnRwcTZlbGp1c2Z0Mg5oLnNldXBnbzVwNXljdDIOaC5xcDNhbnlkNXo0cDYyDmguejZiYmswM3hnYjRhMg5oLjFqMjB4MzFkNGw4YTIOaC41bGExd3VyNndua2kyDmguYnJuc3NpZzNteGtwMg5oLnA1dnBjdDkxaWg2ZDIOaC41YjJzM21mZHUxNnc4AHIhMXdQcjhSSXpCVUt6MWJ3dW1XTDFqcDIyZmp3MGQ5cDRi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028E40C-180E-4006-95E7-AD790E339F37}"/>
</file>

<file path=customXML/itemProps3.xml><?xml version="1.0" encoding="utf-8"?>
<ds:datastoreItem xmlns:ds="http://schemas.openxmlformats.org/officeDocument/2006/customXml" ds:itemID="{FD5FCA02-5861-49A1-BFDD-9468E8E590EC}"/>
</file>

<file path=customXML/itemProps4.xml><?xml version="1.0" encoding="utf-8"?>
<ds:datastoreItem xmlns:ds="http://schemas.openxmlformats.org/officeDocument/2006/customXml" ds:itemID="{1F656CB7-AB67-4E9E-8B41-94F6218F614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Yesheva Kelly</dc:creator>
  <dcterms:created xsi:type="dcterms:W3CDTF">2024-04-17T18:21:00Z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